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3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441"/>
        <w:gridCol w:w="1878"/>
      </w:tblGrid>
      <w:tr w14:paraId="4CA89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7441" w:type="dxa"/>
            <w:vAlign w:val="center"/>
          </w:tcPr>
          <w:p w14:paraId="2038A9EB">
            <w:pPr>
              <w:adjustRightInd w:val="0"/>
              <w:snapToGrid w:val="0"/>
              <w:spacing w:line="1700" w:lineRule="exact"/>
              <w:jc w:val="distribute"/>
              <w:rPr>
                <w:rFonts w:ascii="方正小标宋简体" w:eastAsia="方正小标宋简体" w:cs="Times New Roman"/>
                <w:color w:val="FF0000"/>
                <w:w w:val="55"/>
                <w:kern w:val="2"/>
                <w:sz w:val="130"/>
                <w:szCs w:val="130"/>
              </w:rPr>
            </w:pPr>
            <w:r>
              <w:rPr>
                <w:rFonts w:hint="eastAsia" w:ascii="方正小标宋简体" w:hAnsi="微软雅黑" w:eastAsia="方正小标宋简体" w:cs="方正小标宋简体"/>
                <w:color w:val="FF0000"/>
                <w:w w:val="55"/>
                <w:kern w:val="0"/>
                <w:sz w:val="130"/>
                <w:szCs w:val="130"/>
              </w:rPr>
              <w:t>滕州市发展和改革局</w:t>
            </w:r>
          </w:p>
        </w:tc>
        <w:tc>
          <w:tcPr>
            <w:tcW w:w="1878" w:type="dxa"/>
            <w:vMerge w:val="restart"/>
            <w:vAlign w:val="center"/>
          </w:tcPr>
          <w:p w14:paraId="25BA2DBA">
            <w:pPr>
              <w:adjustRightInd w:val="0"/>
              <w:snapToGrid w:val="0"/>
              <w:spacing w:line="1600" w:lineRule="exact"/>
              <w:jc w:val="center"/>
              <w:rPr>
                <w:rFonts w:ascii="仿宋_GB2312" w:cs="Times New Roman"/>
                <w:color w:val="FF0000"/>
                <w:kern w:val="2"/>
                <w:sz w:val="21"/>
              </w:rPr>
            </w:pPr>
            <w:r>
              <w:rPr>
                <w:rFonts w:hint="eastAsia" w:ascii="方正小标宋简体" w:hAnsi="微软雅黑" w:eastAsia="方正小标宋简体" w:cs="方正小标宋简体"/>
                <w:color w:val="FF0000"/>
                <w:w w:val="55"/>
                <w:kern w:val="0"/>
                <w:sz w:val="130"/>
                <w:szCs w:val="130"/>
              </w:rPr>
              <w:t>文件</w:t>
            </w:r>
          </w:p>
        </w:tc>
      </w:tr>
      <w:tr w14:paraId="2D99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jc w:val="center"/>
        </w:trPr>
        <w:tc>
          <w:tcPr>
            <w:tcW w:w="7441" w:type="dxa"/>
            <w:vAlign w:val="center"/>
          </w:tcPr>
          <w:p w14:paraId="3E85989D">
            <w:pPr>
              <w:adjustRightInd w:val="0"/>
              <w:snapToGrid w:val="0"/>
              <w:spacing w:line="1700" w:lineRule="exact"/>
              <w:jc w:val="distribute"/>
              <w:rPr>
                <w:rFonts w:ascii="方正小标宋简体" w:eastAsia="方正小标宋简体" w:cs="Times New Roman"/>
                <w:color w:val="FF0000"/>
                <w:w w:val="60"/>
                <w:kern w:val="2"/>
                <w:sz w:val="130"/>
                <w:szCs w:val="130"/>
              </w:rPr>
            </w:pPr>
            <w:r>
              <w:rPr>
                <w:rFonts w:hint="eastAsia" w:ascii="方正小标宋简体" w:hAnsi="微软雅黑" w:eastAsia="方正小标宋简体" w:cs="方正小标宋简体"/>
                <w:color w:val="FF0000"/>
                <w:w w:val="60"/>
                <w:kern w:val="0"/>
                <w:sz w:val="120"/>
                <w:szCs w:val="120"/>
              </w:rPr>
              <w:t>滕州</w:t>
            </w:r>
            <w:r>
              <w:rPr>
                <w:rFonts w:hint="eastAsia" w:ascii="方正小标宋简体" w:hAnsi="微软雅黑" w:eastAsia="方正小标宋简体" w:cs="方正小标宋简体"/>
                <w:color w:val="FF0000"/>
                <w:w w:val="60"/>
                <w:kern w:val="0"/>
                <w:sz w:val="120"/>
                <w:szCs w:val="120"/>
                <w:lang w:val="en-US" w:eastAsia="zh-CN"/>
              </w:rPr>
              <w:t>市综合行政执法</w:t>
            </w:r>
            <w:r>
              <w:rPr>
                <w:rFonts w:hint="eastAsia" w:ascii="方正小标宋简体" w:hAnsi="微软雅黑" w:eastAsia="方正小标宋简体" w:cs="方正小标宋简体"/>
                <w:color w:val="FF0000"/>
                <w:w w:val="60"/>
                <w:kern w:val="0"/>
                <w:sz w:val="120"/>
                <w:szCs w:val="120"/>
              </w:rPr>
              <w:t>局</w:t>
            </w:r>
          </w:p>
        </w:tc>
        <w:tc>
          <w:tcPr>
            <w:tcW w:w="1878" w:type="dxa"/>
            <w:vMerge w:val="continue"/>
            <w:vAlign w:val="center"/>
          </w:tcPr>
          <w:p w14:paraId="13F12019">
            <w:pPr>
              <w:adjustRightInd w:val="0"/>
              <w:snapToGrid w:val="0"/>
              <w:spacing w:line="500" w:lineRule="exact"/>
              <w:jc w:val="center"/>
              <w:rPr>
                <w:rFonts w:ascii="仿宋_GB2312" w:cs="Times New Roman"/>
                <w:color w:val="FF0000"/>
                <w:kern w:val="2"/>
                <w:sz w:val="21"/>
              </w:rPr>
            </w:pPr>
          </w:p>
        </w:tc>
      </w:tr>
    </w:tbl>
    <w:p w14:paraId="6A48CB10">
      <w:pPr>
        <w:adjustRightInd w:val="0"/>
        <w:snapToGrid w:val="0"/>
        <w:spacing w:line="500" w:lineRule="exact"/>
        <w:jc w:val="both"/>
        <w:rPr>
          <w:rFonts w:ascii="仿宋_GB2312" w:cs="Times New Roman"/>
        </w:rPr>
      </w:pPr>
    </w:p>
    <w:p w14:paraId="1995308C">
      <w:pPr>
        <w:adjustRightInd w:val="0"/>
        <w:snapToGrid w:val="0"/>
        <w:spacing w:line="500" w:lineRule="exact"/>
        <w:jc w:val="both"/>
        <w:rPr>
          <w:rFonts w:ascii="仿宋_GB2312" w:cs="Times New Roman"/>
        </w:rPr>
      </w:pPr>
    </w:p>
    <w:p w14:paraId="3E24AD28">
      <w:pPr>
        <w:adjustRightInd w:val="0"/>
        <w:snapToGrid w:val="0"/>
        <w:spacing w:line="600" w:lineRule="exact"/>
        <w:jc w:val="center"/>
        <w:rPr>
          <w:rFonts w:ascii="仿宋_GB2312" w:eastAsia="仿宋_GB2312" w:cs="Times New Roman"/>
          <w:sz w:val="32"/>
          <w:szCs w:val="32"/>
        </w:rPr>
      </w:pPr>
      <w:r>
        <w:rPr>
          <w:rFonts w:hint="eastAsia" w:ascii="仿宋_GB2312" w:eastAsia="仿宋_GB2312" w:cs="仿宋_GB2312"/>
          <w:sz w:val="32"/>
          <w:szCs w:val="32"/>
        </w:rPr>
        <w:t>滕发改字〔</w:t>
      </w:r>
      <w:r>
        <w:rPr>
          <w:rFonts w:ascii="仿宋_GB2312" w:eastAsia="仿宋_GB2312" w:cs="仿宋_GB2312"/>
          <w:sz w:val="32"/>
          <w:szCs w:val="32"/>
        </w:rPr>
        <w:t>202</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38</w:t>
      </w:r>
      <w:r>
        <w:rPr>
          <w:rFonts w:hint="eastAsia" w:ascii="仿宋_GB2312" w:eastAsia="仿宋_GB2312" w:cs="仿宋_GB2312"/>
          <w:sz w:val="32"/>
          <w:szCs w:val="32"/>
        </w:rPr>
        <w:t>号</w:t>
      </w:r>
    </w:p>
    <w:p w14:paraId="5FD0C362">
      <w:pPr>
        <w:keepNext w:val="0"/>
        <w:keepLines w:val="0"/>
        <w:pageBreakBefore w:val="0"/>
        <w:widowControl/>
        <w:shd w:val="clear" w:color="auto" w:fill="FFFFFF"/>
        <w:kinsoku/>
        <w:wordWrap w:val="0"/>
        <w:overflowPunct/>
        <w:topLinePunct w:val="0"/>
        <w:autoSpaceDE/>
        <w:autoSpaceDN/>
        <w:bidi w:val="0"/>
        <w:adjustRightInd w:val="0"/>
        <w:snapToGrid w:val="0"/>
        <w:spacing w:line="900" w:lineRule="exact"/>
        <w:jc w:val="center"/>
        <w:textAlignment w:val="auto"/>
        <w:rPr>
          <w:rFonts w:ascii="方正小标宋简体" w:hAnsi="黑体" w:eastAsia="方正小标宋简体" w:cs="Times New Roman"/>
          <w:kern w:val="0"/>
          <w:sz w:val="44"/>
          <w:szCs w:val="44"/>
        </w:rPr>
      </w:pPr>
      <w:r>
        <w:pict>
          <v:line id="_x0000_s1026" o:spid="_x0000_s1026" o:spt="20" style="position:absolute;left:0pt;margin-left:-7.05pt;margin-top:13.75pt;height:0pt;width:439.35pt;z-index:251659264;mso-width-relative:page;mso-height-relative:page;" stroked="t" coordsize="21600,21600">
            <v:path arrowok="t"/>
            <v:fill focussize="0,0"/>
            <v:stroke weight="2pt" color="#FF0000"/>
            <v:imagedata o:title=""/>
            <o:lock v:ext="edit"/>
          </v:line>
        </w:pict>
      </w:r>
    </w:p>
    <w:p w14:paraId="630E92D7">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outlineLvl w:val="0"/>
        <w:rPr>
          <w:rFonts w:hint="eastAsia" w:ascii="方正小标宋简体" w:hAnsi="微软雅黑" w:eastAsia="方正小标宋简体" w:cs="宋体"/>
          <w:bCs/>
          <w:color w:val="231815"/>
          <w:kern w:val="36"/>
          <w:sz w:val="44"/>
          <w:szCs w:val="44"/>
        </w:rPr>
      </w:pPr>
      <w:r>
        <w:rPr>
          <w:rFonts w:hint="eastAsia" w:ascii="方正小标宋简体" w:hAnsi="微软雅黑" w:eastAsia="方正小标宋简体" w:cs="宋体"/>
          <w:bCs/>
          <w:color w:val="231815"/>
          <w:kern w:val="36"/>
          <w:sz w:val="44"/>
          <w:szCs w:val="44"/>
        </w:rPr>
        <w:t>关于明确滕州市城市生活垃圾处理</w:t>
      </w:r>
    </w:p>
    <w:p w14:paraId="1B0A2936">
      <w:pPr>
        <w:keepNext w:val="0"/>
        <w:keepLines w:val="0"/>
        <w:pageBreakBefore w:val="0"/>
        <w:widowControl/>
        <w:shd w:val="clear" w:color="auto" w:fill="FFFFFF"/>
        <w:kinsoku/>
        <w:wordWrap/>
        <w:overflowPunct/>
        <w:topLinePunct w:val="0"/>
        <w:autoSpaceDE/>
        <w:autoSpaceDN/>
        <w:bidi w:val="0"/>
        <w:adjustRightInd/>
        <w:snapToGrid/>
        <w:spacing w:line="600" w:lineRule="exact"/>
        <w:jc w:val="center"/>
        <w:textAlignment w:val="auto"/>
        <w:outlineLvl w:val="0"/>
        <w:rPr>
          <w:rFonts w:hint="eastAsia" w:ascii="方正小标宋简体" w:hAnsi="微软雅黑" w:eastAsia="方正小标宋简体" w:cs="宋体"/>
          <w:bCs/>
          <w:color w:val="231815"/>
          <w:kern w:val="36"/>
          <w:sz w:val="44"/>
          <w:szCs w:val="44"/>
        </w:rPr>
      </w:pPr>
      <w:r>
        <w:rPr>
          <w:rFonts w:hint="eastAsia" w:ascii="方正小标宋简体" w:hAnsi="微软雅黑" w:eastAsia="方正小标宋简体" w:cs="宋体"/>
          <w:bCs/>
          <w:color w:val="231815"/>
          <w:kern w:val="36"/>
          <w:sz w:val="44"/>
          <w:szCs w:val="44"/>
        </w:rPr>
        <w:t>收费标准的通知</w:t>
      </w:r>
    </w:p>
    <w:p w14:paraId="5D864AA1">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仿宋_GB2312" w:hAnsi="Times New Roman" w:eastAsia="仿宋_GB2312" w:cs="仿宋_GB2312"/>
          <w:sz w:val="32"/>
          <w:szCs w:val="32"/>
          <w:lang w:val="en-US" w:eastAsia="zh-CN"/>
        </w:rPr>
      </w:pPr>
    </w:p>
    <w:p w14:paraId="17E0500B">
      <w:pPr>
        <w:widowControl/>
        <w:shd w:val="clear" w:color="auto" w:fill="FFFFFF"/>
        <w:spacing w:line="600" w:lineRule="atLeast"/>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各镇人民政府、街道办事处、市环境卫生管理服务中心：</w:t>
      </w:r>
    </w:p>
    <w:p w14:paraId="497B02F4">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根据《山东省发展和改革委员会关于公布&lt;山东省定价目录&gt;的通知》（鲁发改价格</w:t>
      </w:r>
      <w:r>
        <w:rPr>
          <w:rFonts w:hint="eastAsia" w:ascii="仿宋_GB2312" w:hAnsi="黑体" w:eastAsia="仿宋_GB2312"/>
          <w:kern w:val="0"/>
          <w:sz w:val="32"/>
          <w:szCs w:val="32"/>
        </w:rPr>
        <w:t>〔20</w:t>
      </w:r>
      <w:r>
        <w:rPr>
          <w:rFonts w:ascii="仿宋_GB2312" w:hAnsi="黑体" w:eastAsia="仿宋_GB2312"/>
          <w:kern w:val="0"/>
          <w:sz w:val="32"/>
          <w:szCs w:val="32"/>
        </w:rPr>
        <w:t>20</w:t>
      </w:r>
      <w:r>
        <w:rPr>
          <w:rFonts w:hint="eastAsia" w:ascii="仿宋_GB2312" w:hAnsi="黑体" w:eastAsia="仿宋_GB2312"/>
          <w:kern w:val="0"/>
          <w:sz w:val="32"/>
          <w:szCs w:val="32"/>
        </w:rPr>
        <w:t>〕</w:t>
      </w:r>
      <w:r>
        <w:rPr>
          <w:rFonts w:hint="eastAsia" w:ascii="仿宋_GB2312" w:hAnsi="仿宋" w:eastAsia="仿宋_GB2312" w:cs="宋体"/>
          <w:color w:val="000000"/>
          <w:kern w:val="0"/>
          <w:sz w:val="32"/>
          <w:szCs w:val="32"/>
        </w:rPr>
        <w:t>1361号）等有关规定，经研究，现将我市城市生活垃圾处理收费标准明确如下：</w:t>
      </w:r>
    </w:p>
    <w:p w14:paraId="7C83BC73">
      <w:pPr>
        <w:widowControl/>
        <w:shd w:val="clear" w:color="auto" w:fill="FFFFFF"/>
        <w:wordWrap w:val="0"/>
        <w:spacing w:line="600" w:lineRule="atLeast"/>
        <w:ind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一、城市生活垃圾处理费的收取范围及对象</w:t>
      </w:r>
    </w:p>
    <w:p w14:paraId="75480274">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城市生活垃圾是指城市人口在日常生活中产生或为城市日常生活提供服务的活动产生的固体废物，以及法律、行政法规规定，视为城市生活垃圾的固体废物（不包括建筑垃圾、渣土、工业固体废物和危险废物）。</w:t>
      </w:r>
    </w:p>
    <w:p w14:paraId="509BA312">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滕州市城市规划区范围内的所有产生生活垃圾的国家机关、企事业单位、个体经营者、社会团体、批发市场、工业品市场、集贸市场、城市居民和暂住人口等均应按规定缴纳生活垃圾处理费。</w:t>
      </w:r>
    </w:p>
    <w:p w14:paraId="3D8AC12D">
      <w:pPr>
        <w:widowControl/>
        <w:shd w:val="clear" w:color="auto" w:fill="FFFFFF"/>
        <w:wordWrap w:val="0"/>
        <w:spacing w:line="600" w:lineRule="atLeast"/>
        <w:ind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二、生活垃圾处理费收费标准</w:t>
      </w:r>
    </w:p>
    <w:p w14:paraId="2553BFC1">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（一）城市规划区内的居民（含辖区内的临时住户），凡由环卫部门负责垃圾清扫保洁、运输处理的，每户每月5.00元；由物业服务公司负责垃圾清扫保洁的，每户每月3.00元，由居民缴纳。</w:t>
      </w:r>
    </w:p>
    <w:p w14:paraId="4B9F591E">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（二）城市规划区内机关、团体、部队、学校、企事业单位，按在职职工实有人数（包括正式工、合同工、临时工、季节工）每人每月3.00元，由单位负责缴纳。</w:t>
      </w:r>
    </w:p>
    <w:p w14:paraId="0D9339F9">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（三）城市规划区内有关行业生活垃圾处理费（本条内各项不得重复收取）：</w:t>
      </w:r>
    </w:p>
    <w:p w14:paraId="4AF3A155">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1．从事饮食业的单位和个人，按餐厅和操作间的面积每月每平方米3.00元；宾馆、旅社、招待所</w:t>
      </w:r>
      <w:r>
        <w:rPr>
          <w:rFonts w:hint="eastAsia" w:ascii="仿宋_GB2312" w:hAnsi="仿宋" w:eastAsia="仿宋_GB2312" w:cs="宋体"/>
          <w:color w:val="000000" w:themeColor="text1"/>
          <w:kern w:val="0"/>
          <w:sz w:val="32"/>
          <w:szCs w:val="32"/>
        </w:rPr>
        <w:t>、医院等按</w:t>
      </w:r>
      <w:r>
        <w:rPr>
          <w:rFonts w:hint="eastAsia" w:ascii="仿宋_GB2312" w:hAnsi="仿宋" w:eastAsia="仿宋_GB2312" w:cs="宋体"/>
          <w:color w:val="000000"/>
          <w:kern w:val="0"/>
          <w:sz w:val="32"/>
          <w:szCs w:val="32"/>
        </w:rPr>
        <w:t>实有床位的50%每天每床1.00元，由经营者缴纳。</w:t>
      </w:r>
    </w:p>
    <w:p w14:paraId="06480338">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2．大型商业、服务业、娱乐业、批发市场、工业品市场按营业面积：500－1000平方米的，每月每平方0.30元；1001－3000平方米的，每月每平方0.20元；3001平方米以上的，每月每平方0.05元，由经营者缴纳。</w:t>
      </w:r>
    </w:p>
    <w:p w14:paraId="6C459F1B">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3．经营性门市，按自然间每月每间20.00元，二楼及二楼以上按每月每平方米0.30元征收，由经营者缴纳。经营性门市营业面积超过500平方米(含本数)的按大型商业、服务业、娱乐业、批发市场、工业品市场标准征收。</w:t>
      </w:r>
    </w:p>
    <w:p w14:paraId="035E5762">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4．各类固定摊点和流动摊点，按每天每平方米0.30元由经营户缴纳。集贸市场、单位管理的停车场和主次干道单位门前（以路沿石为界），按每月每平方米0.20元由业主或经营者缴纳。</w:t>
      </w:r>
    </w:p>
    <w:p w14:paraId="42986833">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（四）营运车辆：出租车每车每月2.00元；20座（含20座）以下客车每车每月10.00元；20座以上客车每车每月20.00元；货车按吨位每月每吨1.00元。</w:t>
      </w:r>
    </w:p>
    <w:p w14:paraId="55004764">
      <w:pPr>
        <w:widowControl/>
        <w:shd w:val="clear" w:color="auto" w:fill="FFFFFF"/>
        <w:wordWrap w:val="0"/>
        <w:spacing w:line="600" w:lineRule="atLeast"/>
        <w:ind w:firstLine="640" w:firstLineChars="200"/>
        <w:rPr>
          <w:rFonts w:hint="eastAsia" w:ascii="黑体" w:hAnsi="黑体" w:eastAsia="黑体" w:cs="宋体"/>
          <w:color w:val="000000" w:themeColor="text1"/>
          <w:kern w:val="0"/>
          <w:sz w:val="32"/>
          <w:szCs w:val="32"/>
        </w:rPr>
      </w:pPr>
      <w:r>
        <w:rPr>
          <w:rFonts w:hint="eastAsia" w:ascii="黑体" w:hAnsi="黑体" w:eastAsia="黑体" w:cs="宋体"/>
          <w:color w:val="000000"/>
          <w:kern w:val="0"/>
          <w:sz w:val="32"/>
          <w:szCs w:val="32"/>
        </w:rPr>
        <w:t>三、其他</w:t>
      </w:r>
      <w:r>
        <w:rPr>
          <w:rFonts w:hint="eastAsia" w:ascii="黑体" w:hAnsi="黑体" w:eastAsia="黑体" w:cs="宋体"/>
          <w:color w:val="000000" w:themeColor="text1"/>
          <w:kern w:val="0"/>
          <w:sz w:val="32"/>
          <w:szCs w:val="32"/>
        </w:rPr>
        <w:t>规定</w:t>
      </w:r>
    </w:p>
    <w:p w14:paraId="321C2729">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（一）对已实行城乡生活垃圾一体化处理的镇村，由各镇人民政府参照我市城市生活垃圾处理费的标准确定生活垃圾处理费的征收标准。</w:t>
      </w:r>
    </w:p>
    <w:p w14:paraId="66036B20">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（二）执收</w:t>
      </w:r>
      <w:r>
        <w:rPr>
          <w:rFonts w:ascii="仿宋_GB2312" w:hAnsi="仿宋" w:eastAsia="仿宋_GB2312" w:cs="宋体"/>
          <w:color w:val="000000"/>
          <w:kern w:val="0"/>
          <w:sz w:val="32"/>
          <w:szCs w:val="32"/>
        </w:rPr>
        <w:t>单位</w:t>
      </w:r>
      <w:r>
        <w:rPr>
          <w:rFonts w:hint="eastAsia" w:ascii="仿宋_GB2312" w:hAnsi="仿宋" w:eastAsia="仿宋_GB2312" w:cs="宋体"/>
          <w:color w:val="000000"/>
          <w:kern w:val="0"/>
          <w:sz w:val="32"/>
          <w:szCs w:val="32"/>
        </w:rPr>
        <w:t>应建立健全内部收费管理制度，完善收费工作流程，自觉规范收费行为，并提供合法票据。</w:t>
      </w:r>
    </w:p>
    <w:p w14:paraId="7833F96D">
      <w:pPr>
        <w:widowControl/>
        <w:shd w:val="clear" w:color="auto" w:fill="FFFFFF"/>
        <w:wordWrap w:val="0"/>
        <w:spacing w:line="600" w:lineRule="atLeast"/>
        <w:ind w:firstLine="640" w:firstLineChars="200"/>
        <w:rPr>
          <w:rFonts w:hint="eastAsia" w:ascii="仿宋_GB2312" w:hAnsi="仿宋" w:eastAsia="仿宋_GB2312" w:cs="宋体"/>
          <w:color w:val="000000"/>
          <w:kern w:val="0"/>
          <w:sz w:val="32"/>
          <w:szCs w:val="32"/>
        </w:rPr>
      </w:pPr>
      <w:r>
        <w:rPr>
          <w:rFonts w:hint="eastAsia" w:ascii="仿宋_GB2312" w:hAnsi="仿宋" w:eastAsia="仿宋_GB2312" w:cs="宋体"/>
          <w:color w:val="000000"/>
          <w:kern w:val="0"/>
          <w:sz w:val="32"/>
          <w:szCs w:val="32"/>
        </w:rPr>
        <w:t>（三）执收单位须在收费场所的醒目位置设置收费公示牌（栏），公示收费项目、收费标准、收费依据及123</w:t>
      </w:r>
      <w:r>
        <w:rPr>
          <w:rFonts w:ascii="仿宋_GB2312" w:hAnsi="仿宋" w:eastAsia="仿宋_GB2312" w:cs="宋体"/>
          <w:color w:val="000000"/>
          <w:kern w:val="0"/>
          <w:sz w:val="32"/>
          <w:szCs w:val="32"/>
        </w:rPr>
        <w:t>1</w:t>
      </w:r>
      <w:r>
        <w:rPr>
          <w:rFonts w:hint="eastAsia" w:ascii="仿宋_GB2312" w:hAnsi="仿宋" w:eastAsia="仿宋_GB2312" w:cs="宋体"/>
          <w:color w:val="000000"/>
          <w:kern w:val="0"/>
          <w:sz w:val="32"/>
          <w:szCs w:val="32"/>
        </w:rPr>
        <w:t>5价格举报电话等内容，自觉接受市场监管部门和社会监督。</w:t>
      </w:r>
    </w:p>
    <w:p w14:paraId="7A15521B">
      <w:pPr>
        <w:widowControl/>
        <w:shd w:val="clear" w:color="auto" w:fill="FFFFFF"/>
        <w:wordWrap w:val="0"/>
        <w:spacing w:line="600" w:lineRule="atLeast"/>
        <w:ind w:firstLine="640" w:firstLineChars="200"/>
        <w:rPr>
          <w:rFonts w:hint="eastAsia" w:ascii="仿宋_GB2312" w:hAnsi="仿宋" w:eastAsia="仿宋_GB2312" w:cs="宋体"/>
          <w:color w:val="000000" w:themeColor="text1"/>
          <w:kern w:val="0"/>
          <w:sz w:val="32"/>
          <w:szCs w:val="32"/>
        </w:rPr>
      </w:pPr>
      <w:r>
        <w:rPr>
          <w:rFonts w:hint="eastAsia" w:ascii="仿宋_GB2312" w:hAnsi="仿宋" w:eastAsia="仿宋_GB2312" w:cs="宋体"/>
          <w:color w:val="000000"/>
          <w:kern w:val="0"/>
          <w:sz w:val="32"/>
          <w:szCs w:val="32"/>
        </w:rPr>
        <w:t>本通</w:t>
      </w:r>
      <w:r>
        <w:rPr>
          <w:rFonts w:hint="eastAsia" w:ascii="仿宋_GB2312" w:hAnsi="仿宋" w:eastAsia="仿宋_GB2312" w:cs="宋体"/>
          <w:color w:val="000000" w:themeColor="text1"/>
          <w:kern w:val="0"/>
          <w:sz w:val="32"/>
          <w:szCs w:val="32"/>
        </w:rPr>
        <w:t>知2</w:t>
      </w:r>
      <w:r>
        <w:rPr>
          <w:rFonts w:ascii="仿宋_GB2312" w:hAnsi="仿宋" w:eastAsia="仿宋_GB2312" w:cs="宋体"/>
          <w:color w:val="000000" w:themeColor="text1"/>
          <w:kern w:val="0"/>
          <w:sz w:val="32"/>
          <w:szCs w:val="32"/>
        </w:rPr>
        <w:t>024</w:t>
      </w:r>
      <w:r>
        <w:rPr>
          <w:rFonts w:hint="eastAsia" w:ascii="仿宋_GB2312" w:hAnsi="仿宋" w:eastAsia="仿宋_GB2312" w:cs="宋体"/>
          <w:color w:val="000000" w:themeColor="text1"/>
          <w:kern w:val="0"/>
          <w:sz w:val="32"/>
          <w:szCs w:val="32"/>
        </w:rPr>
        <w:t>年5月22日</w:t>
      </w:r>
      <w:r>
        <w:rPr>
          <w:rFonts w:ascii="仿宋_GB2312" w:hAnsi="仿宋" w:eastAsia="仿宋_GB2312" w:cs="宋体"/>
          <w:color w:val="000000" w:themeColor="text1"/>
          <w:kern w:val="0"/>
          <w:sz w:val="32"/>
          <w:szCs w:val="32"/>
        </w:rPr>
        <w:t>起执行</w:t>
      </w:r>
      <w:r>
        <w:rPr>
          <w:rFonts w:hint="eastAsia" w:ascii="仿宋_GB2312" w:hAnsi="仿宋" w:eastAsia="仿宋_GB2312" w:cs="宋体"/>
          <w:color w:val="000000" w:themeColor="text1"/>
          <w:kern w:val="0"/>
          <w:sz w:val="32"/>
          <w:szCs w:val="32"/>
          <w:lang w:eastAsia="zh-CN"/>
        </w:rPr>
        <w:t>，</w:t>
      </w:r>
      <w:r>
        <w:rPr>
          <w:rFonts w:hint="eastAsia" w:ascii="仿宋_GB2312" w:hAnsi="仿宋" w:eastAsia="仿宋_GB2312" w:cs="宋体"/>
          <w:color w:val="000000" w:themeColor="text1"/>
          <w:kern w:val="0"/>
          <w:sz w:val="32"/>
          <w:szCs w:val="32"/>
        </w:rPr>
        <w:t>有效期至</w:t>
      </w:r>
      <w:r>
        <w:rPr>
          <w:rFonts w:ascii="仿宋_GB2312" w:hAnsi="仿宋" w:eastAsia="仿宋_GB2312" w:cs="宋体"/>
          <w:color w:val="000000" w:themeColor="text1"/>
          <w:kern w:val="0"/>
          <w:sz w:val="32"/>
          <w:szCs w:val="32"/>
        </w:rPr>
        <w:t>2027</w:t>
      </w:r>
      <w:r>
        <w:rPr>
          <w:rFonts w:hint="eastAsia" w:ascii="仿宋_GB2312" w:hAnsi="仿宋" w:eastAsia="仿宋_GB2312" w:cs="宋体"/>
          <w:color w:val="000000" w:themeColor="text1"/>
          <w:kern w:val="0"/>
          <w:sz w:val="32"/>
          <w:szCs w:val="32"/>
        </w:rPr>
        <w:t>年</w:t>
      </w:r>
      <w:r>
        <w:rPr>
          <w:rFonts w:hint="eastAsia" w:ascii="仿宋_GB2312" w:hAnsi="仿宋" w:eastAsia="仿宋_GB2312" w:cs="宋体"/>
          <w:color w:val="000000" w:themeColor="text1"/>
          <w:kern w:val="0"/>
          <w:sz w:val="32"/>
          <w:szCs w:val="32"/>
          <w:lang w:val="en-US" w:eastAsia="zh-CN"/>
        </w:rPr>
        <w:t>12</w:t>
      </w:r>
      <w:r>
        <w:rPr>
          <w:rFonts w:hint="eastAsia" w:ascii="仿宋_GB2312" w:hAnsi="仿宋" w:eastAsia="仿宋_GB2312" w:cs="宋体"/>
          <w:color w:val="000000" w:themeColor="text1"/>
          <w:kern w:val="0"/>
          <w:sz w:val="32"/>
          <w:szCs w:val="32"/>
        </w:rPr>
        <w:t>月</w:t>
      </w:r>
      <w:r>
        <w:rPr>
          <w:rFonts w:hint="eastAsia" w:ascii="仿宋_GB2312" w:hAnsi="仿宋" w:eastAsia="仿宋_GB2312" w:cs="宋体"/>
          <w:color w:val="000000" w:themeColor="text1"/>
          <w:kern w:val="0"/>
          <w:sz w:val="32"/>
          <w:szCs w:val="32"/>
          <w:lang w:val="en-US" w:eastAsia="zh-CN"/>
        </w:rPr>
        <w:t>31</w:t>
      </w:r>
      <w:r>
        <w:rPr>
          <w:rFonts w:hint="eastAsia" w:ascii="仿宋_GB2312" w:hAnsi="仿宋" w:eastAsia="仿宋_GB2312" w:cs="宋体"/>
          <w:color w:val="000000" w:themeColor="text1"/>
          <w:kern w:val="0"/>
          <w:sz w:val="32"/>
          <w:szCs w:val="32"/>
        </w:rPr>
        <w:t>日。</w:t>
      </w:r>
      <w:r>
        <w:rPr>
          <w:rFonts w:ascii="Calibri" w:hAnsi="Calibri" w:eastAsia="仿宋_GB2312" w:cs="Calibri"/>
          <w:color w:val="000000" w:themeColor="text1"/>
          <w:kern w:val="0"/>
          <w:sz w:val="32"/>
          <w:szCs w:val="32"/>
        </w:rPr>
        <w:t> </w:t>
      </w:r>
    </w:p>
    <w:p w14:paraId="666CF820">
      <w:pPr>
        <w:rPr>
          <w:rFonts w:hint="eastAsia" w:ascii="仿宋_GB2312" w:hAnsi="仿宋_GB2312" w:eastAsia="仿宋_GB2312" w:cs="仿宋_GB2312"/>
          <w:sz w:val="32"/>
          <w:szCs w:val="32"/>
        </w:rPr>
      </w:pPr>
      <w:bookmarkStart w:id="0" w:name="_GoBack"/>
      <w:bookmarkEnd w:id="0"/>
      <w:r>
        <w:rPr>
          <w:rFonts w:hint="eastAsia" w:ascii="仿宋_GB2312" w:hAnsi="仿宋" w:eastAsia="仿宋_GB2312" w:cs="宋体"/>
          <w:color w:val="000000"/>
          <w:kern w:val="0"/>
          <w:sz w:val="32"/>
          <w:szCs w:val="32"/>
        </w:rPr>
        <w:t xml:space="preserve"> </w:t>
      </w:r>
      <w:r>
        <w:rPr>
          <w:rFonts w:ascii="仿宋_GB2312" w:hAnsi="仿宋" w:eastAsia="仿宋_GB2312" w:cs="宋体"/>
          <w:color w:val="000000"/>
          <w:kern w:val="0"/>
          <w:sz w:val="32"/>
          <w:szCs w:val="32"/>
        </w:rPr>
        <w:t xml:space="preserve"> </w:t>
      </w:r>
      <w:r>
        <w:rPr>
          <w:rFonts w:hint="eastAsia" w:ascii="仿宋_GB2312" w:hAnsi="仿宋_GB2312" w:eastAsia="仿宋_GB2312" w:cs="仿宋_GB2312"/>
          <w:sz w:val="32"/>
          <w:szCs w:val="32"/>
        </w:rPr>
        <w:t xml:space="preserve"> </w:t>
      </w:r>
    </w:p>
    <w:p w14:paraId="54B8338A">
      <w:pPr>
        <w:rPr>
          <w:rFonts w:hint="eastAsia" w:ascii="仿宋_GB2312" w:hAnsi="仿宋_GB2312" w:eastAsia="仿宋_GB2312" w:cs="仿宋_GB2312"/>
          <w:sz w:val="32"/>
          <w:szCs w:val="32"/>
        </w:rPr>
      </w:pPr>
    </w:p>
    <w:p w14:paraId="2D1E9A2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滕州市发展和改革局       滕州市综合行政执法局</w:t>
      </w:r>
    </w:p>
    <w:p w14:paraId="62D1354A">
      <w:pPr>
        <w:rPr>
          <w:rFonts w:hint="eastAsia" w:ascii="仿宋_GB2312" w:hAnsi="仿宋_GB2312" w:eastAsia="仿宋_GB2312" w:cs="仿宋_GB2312"/>
          <w:sz w:val="32"/>
          <w:szCs w:val="32"/>
        </w:rPr>
      </w:pPr>
    </w:p>
    <w:p w14:paraId="36447E78">
      <w:pPr>
        <w:ind w:firstLine="5120" w:firstLineChars="1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2024年5月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日</w:t>
      </w:r>
    </w:p>
    <w:p w14:paraId="1D318067">
      <w:pPr>
        <w:rPr>
          <w:rFonts w:hint="eastAsia" w:ascii="仿宋_GB2312" w:hAnsi="仿宋_GB2312" w:eastAsia="仿宋_GB2312" w:cs="仿宋_GB2312"/>
          <w:sz w:val="32"/>
          <w:szCs w:val="32"/>
        </w:rPr>
      </w:pPr>
    </w:p>
    <w:p w14:paraId="06386878">
      <w:pPr>
        <w:rPr>
          <w:rFonts w:hint="eastAsia" w:ascii="仿宋_GB2312" w:hAnsi="仿宋_GB2312" w:eastAsia="仿宋_GB2312" w:cs="仿宋_GB2312"/>
          <w:sz w:val="32"/>
          <w:szCs w:val="32"/>
        </w:rPr>
      </w:pPr>
    </w:p>
    <w:p w14:paraId="6AB990E1">
      <w:pPr>
        <w:rPr>
          <w:rFonts w:hint="eastAsia" w:ascii="仿宋_GB2312" w:hAnsi="仿宋_GB2312" w:eastAsia="仿宋_GB2312" w:cs="仿宋_GB2312"/>
          <w:sz w:val="32"/>
          <w:szCs w:val="32"/>
        </w:rPr>
      </w:pPr>
    </w:p>
    <w:p w14:paraId="3ABA2BE0">
      <w:pPr>
        <w:rPr>
          <w:rFonts w:hint="eastAsia" w:ascii="仿宋_GB2312" w:hAnsi="仿宋_GB2312" w:eastAsia="仿宋_GB2312" w:cs="仿宋_GB2312"/>
          <w:sz w:val="32"/>
          <w:szCs w:val="32"/>
        </w:rPr>
      </w:pPr>
    </w:p>
    <w:p w14:paraId="13059DE4">
      <w:pPr>
        <w:adjustRightInd w:val="0"/>
        <w:snapToGrid w:val="0"/>
        <w:spacing w:line="600" w:lineRule="exact"/>
        <w:rPr>
          <w:rFonts w:hint="eastAsia" w:ascii="仿宋_GB2312" w:hAnsi="仿宋_GB2312" w:eastAsia="仿宋_GB2312" w:cs="仿宋_GB2312"/>
          <w:sz w:val="32"/>
          <w:szCs w:val="32"/>
        </w:rPr>
      </w:pPr>
    </w:p>
    <w:p w14:paraId="43A53199">
      <w:pPr>
        <w:adjustRightInd w:val="0"/>
        <w:snapToGrid w:val="0"/>
        <w:spacing w:line="600" w:lineRule="exact"/>
        <w:rPr>
          <w:rFonts w:hint="eastAsia" w:ascii="仿宋_GB2312" w:eastAsia="仿宋_GB2312"/>
          <w:sz w:val="32"/>
          <w:szCs w:val="32"/>
        </w:rPr>
      </w:pPr>
    </w:p>
    <w:p w14:paraId="44782918">
      <w:pPr>
        <w:adjustRightInd w:val="0"/>
        <w:snapToGrid w:val="0"/>
        <w:spacing w:line="600" w:lineRule="exact"/>
        <w:rPr>
          <w:rFonts w:hint="eastAsia" w:ascii="仿宋_GB2312" w:eastAsia="仿宋_GB2312"/>
          <w:sz w:val="32"/>
          <w:szCs w:val="32"/>
        </w:rPr>
      </w:pPr>
    </w:p>
    <w:p w14:paraId="6032ED51">
      <w:pPr>
        <w:adjustRightInd w:val="0"/>
        <w:snapToGrid w:val="0"/>
        <w:spacing w:line="600" w:lineRule="exact"/>
        <w:rPr>
          <w:rFonts w:hint="eastAsia" w:ascii="仿宋_GB2312" w:eastAsia="仿宋_GB2312"/>
          <w:sz w:val="32"/>
          <w:szCs w:val="32"/>
        </w:rPr>
      </w:pPr>
    </w:p>
    <w:p w14:paraId="78423236">
      <w:pPr>
        <w:adjustRightInd w:val="0"/>
        <w:snapToGrid w:val="0"/>
        <w:spacing w:line="600" w:lineRule="exact"/>
        <w:rPr>
          <w:rFonts w:hint="eastAsia" w:ascii="仿宋_GB2312" w:eastAsia="仿宋_GB2312"/>
          <w:sz w:val="32"/>
          <w:szCs w:val="32"/>
        </w:rPr>
      </w:pPr>
    </w:p>
    <w:p w14:paraId="6DD24BFC">
      <w:pPr>
        <w:keepNext w:val="0"/>
        <w:keepLines w:val="0"/>
        <w:pageBreakBefore w:val="0"/>
        <w:widowControl w:val="0"/>
        <w:kinsoku/>
        <w:wordWrap/>
        <w:overflowPunct/>
        <w:topLinePunct w:val="0"/>
        <w:autoSpaceDE/>
        <w:autoSpaceDN/>
        <w:bidi w:val="0"/>
        <w:adjustRightInd w:val="0"/>
        <w:snapToGrid w:val="0"/>
        <w:spacing w:line="940" w:lineRule="exact"/>
        <w:textAlignment w:val="auto"/>
        <w:rPr>
          <w:rFonts w:hint="eastAsia" w:ascii="仿宋_GB2312" w:eastAsia="仿宋_GB2312"/>
          <w:sz w:val="32"/>
          <w:szCs w:val="32"/>
        </w:rPr>
      </w:pPr>
    </w:p>
    <w:p w14:paraId="382FA92E">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eastAsia="仿宋_GB2312"/>
          <w:sz w:val="32"/>
          <w:szCs w:val="32"/>
        </w:rPr>
      </w:pPr>
    </w:p>
    <w:tbl>
      <w:tblPr>
        <w:tblStyle w:val="6"/>
        <w:tblpPr w:leftFromText="180" w:rightFromText="180" w:vertAnchor="text" w:horzAnchor="page" w:tblpX="1644" w:tblpY="824"/>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40"/>
      </w:tblGrid>
      <w:tr w14:paraId="3D355D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8440" w:type="dxa"/>
            <w:noWrap w:val="0"/>
            <w:vAlign w:val="top"/>
          </w:tcPr>
          <w:p w14:paraId="0D15D914">
            <w:pPr>
              <w:adjustRightInd w:val="0"/>
              <w:snapToGrid w:val="0"/>
              <w:spacing w:line="600" w:lineRule="exact"/>
              <w:rPr>
                <w:rFonts w:hint="eastAsia" w:ascii="仿宋_GB2312" w:eastAsia="仿宋_GB2312"/>
                <w:sz w:val="32"/>
                <w:szCs w:val="32"/>
              </w:rPr>
            </w:pPr>
            <w:r>
              <w:rPr>
                <w:rFonts w:hint="eastAsia" w:ascii="仿宋_GB2312" w:eastAsia="仿宋_GB2312"/>
                <w:sz w:val="32"/>
                <w:szCs w:val="32"/>
              </w:rPr>
              <w:t>抄送：市</w:t>
            </w:r>
            <w:r>
              <w:rPr>
                <w:rFonts w:ascii="仿宋_GB2312" w:eastAsia="仿宋_GB2312"/>
                <w:sz w:val="32"/>
                <w:szCs w:val="32"/>
              </w:rPr>
              <w:t>财政局、</w:t>
            </w:r>
            <w:r>
              <w:rPr>
                <w:rFonts w:hint="eastAsia" w:ascii="仿宋_GB2312" w:hAnsi="仿宋" w:eastAsia="仿宋_GB2312"/>
                <w:kern w:val="0"/>
                <w:sz w:val="32"/>
                <w:szCs w:val="32"/>
              </w:rPr>
              <w:t>市市场监督管理局</w:t>
            </w:r>
          </w:p>
        </w:tc>
      </w:tr>
      <w:tr w14:paraId="4E15F9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8440" w:type="dxa"/>
            <w:noWrap w:val="0"/>
            <w:vAlign w:val="top"/>
          </w:tcPr>
          <w:p w14:paraId="0D13717D">
            <w:pPr>
              <w:adjustRightInd w:val="0"/>
              <w:snapToGrid w:val="0"/>
              <w:spacing w:line="600" w:lineRule="exact"/>
              <w:rPr>
                <w:rFonts w:ascii="仿宋_GB2312" w:eastAsia="仿宋_GB2312"/>
                <w:sz w:val="32"/>
                <w:szCs w:val="32"/>
              </w:rPr>
            </w:pPr>
            <w:r>
              <w:rPr>
                <w:rFonts w:hint="eastAsia" w:ascii="仿宋_GB2312" w:eastAsia="仿宋_GB2312"/>
                <w:sz w:val="32"/>
                <w:szCs w:val="32"/>
              </w:rPr>
              <w:t>滕州市发展和改革局办公室        202</w:t>
            </w:r>
            <w:r>
              <w:rPr>
                <w:rFonts w:ascii="仿宋_GB2312" w:eastAsia="仿宋_GB2312"/>
                <w:color w:val="000000" w:themeColor="text1"/>
                <w:sz w:val="32"/>
                <w:szCs w:val="32"/>
              </w:rPr>
              <w:t>4</w:t>
            </w:r>
            <w:r>
              <w:rPr>
                <w:rFonts w:hint="eastAsia" w:ascii="仿宋_GB2312" w:eastAsia="仿宋_GB2312"/>
                <w:color w:val="000000" w:themeColor="text1"/>
                <w:sz w:val="32"/>
                <w:szCs w:val="32"/>
              </w:rPr>
              <w:t>年</w:t>
            </w:r>
            <w:r>
              <w:rPr>
                <w:rFonts w:ascii="仿宋_GB2312" w:eastAsia="仿宋_GB2312"/>
                <w:color w:val="000000" w:themeColor="text1"/>
                <w:sz w:val="32"/>
                <w:szCs w:val="32"/>
              </w:rPr>
              <w:t>5</w:t>
            </w:r>
            <w:r>
              <w:rPr>
                <w:rFonts w:hint="eastAsia" w:ascii="仿宋_GB2312" w:eastAsia="仿宋_GB2312"/>
                <w:color w:val="000000" w:themeColor="text1"/>
                <w:sz w:val="32"/>
                <w:szCs w:val="32"/>
              </w:rPr>
              <w:t>月</w:t>
            </w:r>
            <w:r>
              <w:rPr>
                <w:rFonts w:hint="eastAsia" w:ascii="仿宋_GB2312" w:eastAsia="仿宋_GB2312"/>
                <w:color w:val="000000" w:themeColor="text1"/>
                <w:sz w:val="32"/>
                <w:szCs w:val="32"/>
                <w:lang w:val="en-US" w:eastAsia="zh-CN"/>
              </w:rPr>
              <w:t>9</w:t>
            </w:r>
            <w:r>
              <w:rPr>
                <w:rFonts w:hint="eastAsia" w:ascii="仿宋_GB2312" w:eastAsia="仿宋_GB2312"/>
                <w:color w:val="000000" w:themeColor="text1"/>
                <w:sz w:val="32"/>
                <w:szCs w:val="32"/>
              </w:rPr>
              <w:t>日印发</w:t>
            </w:r>
          </w:p>
        </w:tc>
      </w:tr>
    </w:tbl>
    <w:p w14:paraId="2CEF2863">
      <w:pPr>
        <w:adjustRightInd w:val="0"/>
        <w:snapToGrid w:val="0"/>
        <w:spacing w:line="600" w:lineRule="exact"/>
        <w:rPr>
          <w:rFonts w:ascii="仿宋_GB2312" w:eastAsia="仿宋_GB2312"/>
          <w:sz w:val="32"/>
          <w:szCs w:val="32"/>
        </w:rPr>
      </w:pPr>
      <w:r>
        <w:rPr>
          <w:rFonts w:hint="eastAsia" w:ascii="仿宋_GB2312" w:eastAsia="仿宋_GB2312"/>
          <w:sz w:val="32"/>
          <w:szCs w:val="32"/>
        </w:rPr>
        <w:t>政府信息公开选项：主动公开</w:t>
      </w:r>
    </w:p>
    <w:sectPr>
      <w:footerReference r:id="rId3" w:type="default"/>
      <w:pgSz w:w="11906" w:h="16838"/>
      <w:pgMar w:top="1701" w:right="1701" w:bottom="1701" w:left="1701" w:header="851" w:footer="1304"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5A51">
    <w:pPr>
      <w:pStyle w:val="3"/>
      <w:framePr w:wrap="auto" w:vAnchor="text" w:hAnchor="margin" w:xAlign="outside" w:y="1"/>
      <w:rPr>
        <w:rStyle w:val="10"/>
        <w:rFonts w:ascii="宋体" w:hAnsi="宋体" w:eastAsia="宋体" w:cs="Times New Roman"/>
        <w:sz w:val="24"/>
        <w:szCs w:val="24"/>
      </w:rPr>
    </w:pPr>
    <w:r>
      <w:rPr>
        <w:rStyle w:val="10"/>
        <w:rFonts w:ascii="宋体" w:hAnsi="宋体" w:eastAsia="宋体" w:cs="宋体"/>
        <w:sz w:val="24"/>
        <w:szCs w:val="24"/>
      </w:rPr>
      <w:fldChar w:fldCharType="begin"/>
    </w:r>
    <w:r>
      <w:rPr>
        <w:rStyle w:val="10"/>
        <w:rFonts w:ascii="宋体" w:hAnsi="宋体" w:eastAsia="宋体" w:cs="宋体"/>
        <w:sz w:val="24"/>
        <w:szCs w:val="24"/>
      </w:rPr>
      <w:instrText xml:space="preserve">PAGE  </w:instrText>
    </w:r>
    <w:r>
      <w:rPr>
        <w:rStyle w:val="10"/>
        <w:rFonts w:ascii="宋体" w:hAnsi="宋体" w:eastAsia="宋体" w:cs="宋体"/>
        <w:sz w:val="24"/>
        <w:szCs w:val="24"/>
      </w:rPr>
      <w:fldChar w:fldCharType="separate"/>
    </w:r>
    <w:r>
      <w:rPr>
        <w:rStyle w:val="10"/>
        <w:rFonts w:ascii="宋体" w:hAnsi="宋体" w:eastAsia="宋体" w:cs="宋体"/>
        <w:sz w:val="24"/>
        <w:szCs w:val="24"/>
      </w:rPr>
      <w:t>- 3 -</w:t>
    </w:r>
    <w:r>
      <w:rPr>
        <w:rStyle w:val="10"/>
        <w:rFonts w:ascii="宋体" w:hAnsi="宋体" w:eastAsia="宋体" w:cs="宋体"/>
        <w:sz w:val="24"/>
        <w:szCs w:val="24"/>
      </w:rPr>
      <w:fldChar w:fldCharType="end"/>
    </w:r>
  </w:p>
  <w:p w14:paraId="1C97E090">
    <w:pPr>
      <w:pStyle w:val="3"/>
      <w:ind w:right="360" w:firstLine="360"/>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YxNjYxZDU0Njk3YzRmMTZjYzY5YjI4ZDU5YWMxNDMifQ=="/>
  </w:docVars>
  <w:rsids>
    <w:rsidRoot w:val="00EF123D"/>
    <w:rsid w:val="00040203"/>
    <w:rsid w:val="00066651"/>
    <w:rsid w:val="000A6127"/>
    <w:rsid w:val="000C6090"/>
    <w:rsid w:val="000D25DC"/>
    <w:rsid w:val="000D31E6"/>
    <w:rsid w:val="001839DE"/>
    <w:rsid w:val="0021127F"/>
    <w:rsid w:val="002645B2"/>
    <w:rsid w:val="00274954"/>
    <w:rsid w:val="002D1A88"/>
    <w:rsid w:val="00322FFF"/>
    <w:rsid w:val="00377AE1"/>
    <w:rsid w:val="003D3FCF"/>
    <w:rsid w:val="00471747"/>
    <w:rsid w:val="00484122"/>
    <w:rsid w:val="004847AA"/>
    <w:rsid w:val="004B4355"/>
    <w:rsid w:val="005835BF"/>
    <w:rsid w:val="005D747A"/>
    <w:rsid w:val="006026BE"/>
    <w:rsid w:val="0067442E"/>
    <w:rsid w:val="006D1CCF"/>
    <w:rsid w:val="006E0641"/>
    <w:rsid w:val="007153A3"/>
    <w:rsid w:val="00720711"/>
    <w:rsid w:val="00722688"/>
    <w:rsid w:val="00732FC9"/>
    <w:rsid w:val="00750603"/>
    <w:rsid w:val="007724A6"/>
    <w:rsid w:val="007C3D19"/>
    <w:rsid w:val="007D266C"/>
    <w:rsid w:val="00887341"/>
    <w:rsid w:val="008B5688"/>
    <w:rsid w:val="0092550B"/>
    <w:rsid w:val="00926FDA"/>
    <w:rsid w:val="00957D66"/>
    <w:rsid w:val="009901AA"/>
    <w:rsid w:val="009930C0"/>
    <w:rsid w:val="00A61318"/>
    <w:rsid w:val="00AD2858"/>
    <w:rsid w:val="00AF4940"/>
    <w:rsid w:val="00AF7537"/>
    <w:rsid w:val="00B12436"/>
    <w:rsid w:val="00B16C61"/>
    <w:rsid w:val="00B72745"/>
    <w:rsid w:val="00B9244E"/>
    <w:rsid w:val="00BA738A"/>
    <w:rsid w:val="00BF26D8"/>
    <w:rsid w:val="00C17D3D"/>
    <w:rsid w:val="00C702BA"/>
    <w:rsid w:val="00C90956"/>
    <w:rsid w:val="00C96207"/>
    <w:rsid w:val="00D20742"/>
    <w:rsid w:val="00D321D6"/>
    <w:rsid w:val="00D66C6E"/>
    <w:rsid w:val="00D970A6"/>
    <w:rsid w:val="00DA7823"/>
    <w:rsid w:val="00DC14DB"/>
    <w:rsid w:val="00DC2536"/>
    <w:rsid w:val="00E33FEC"/>
    <w:rsid w:val="00E468C9"/>
    <w:rsid w:val="00E559E2"/>
    <w:rsid w:val="00E7710E"/>
    <w:rsid w:val="00E77BDF"/>
    <w:rsid w:val="00E91BE9"/>
    <w:rsid w:val="00EF123D"/>
    <w:rsid w:val="00EF5E22"/>
    <w:rsid w:val="00F140BC"/>
    <w:rsid w:val="00F61EF6"/>
    <w:rsid w:val="00FC6D8C"/>
    <w:rsid w:val="00FF5B5B"/>
    <w:rsid w:val="02C1531D"/>
    <w:rsid w:val="02D91849"/>
    <w:rsid w:val="02F474A0"/>
    <w:rsid w:val="0AA55524"/>
    <w:rsid w:val="0BBE4AEF"/>
    <w:rsid w:val="0BCA2083"/>
    <w:rsid w:val="0C0225CA"/>
    <w:rsid w:val="0F221F46"/>
    <w:rsid w:val="0FA34DFB"/>
    <w:rsid w:val="0FC7363F"/>
    <w:rsid w:val="13981A7A"/>
    <w:rsid w:val="13FD21A1"/>
    <w:rsid w:val="158F7EB0"/>
    <w:rsid w:val="19B64C36"/>
    <w:rsid w:val="1B3F107D"/>
    <w:rsid w:val="1DD94692"/>
    <w:rsid w:val="1F59095F"/>
    <w:rsid w:val="1F6B0692"/>
    <w:rsid w:val="1F764D61"/>
    <w:rsid w:val="1FD61FB0"/>
    <w:rsid w:val="214B42D7"/>
    <w:rsid w:val="26712A32"/>
    <w:rsid w:val="28EA6ACC"/>
    <w:rsid w:val="293B10D5"/>
    <w:rsid w:val="29A0718A"/>
    <w:rsid w:val="2BB027C2"/>
    <w:rsid w:val="2BF16EE1"/>
    <w:rsid w:val="2D1E0AF2"/>
    <w:rsid w:val="2E3C011D"/>
    <w:rsid w:val="31517FA0"/>
    <w:rsid w:val="330B7D6A"/>
    <w:rsid w:val="33FD3B57"/>
    <w:rsid w:val="35BE5813"/>
    <w:rsid w:val="36C95283"/>
    <w:rsid w:val="37ED7F2D"/>
    <w:rsid w:val="38C96652"/>
    <w:rsid w:val="3A685AA2"/>
    <w:rsid w:val="3C1877EA"/>
    <w:rsid w:val="3CF96461"/>
    <w:rsid w:val="4012098A"/>
    <w:rsid w:val="423B584A"/>
    <w:rsid w:val="43C54FD5"/>
    <w:rsid w:val="447A7B97"/>
    <w:rsid w:val="46DB28E3"/>
    <w:rsid w:val="489571E7"/>
    <w:rsid w:val="48E2006C"/>
    <w:rsid w:val="49F54110"/>
    <w:rsid w:val="4ADF0A48"/>
    <w:rsid w:val="4C2113BB"/>
    <w:rsid w:val="4C8524E4"/>
    <w:rsid w:val="4CC74619"/>
    <w:rsid w:val="4DCD4142"/>
    <w:rsid w:val="4FED287A"/>
    <w:rsid w:val="51B1322C"/>
    <w:rsid w:val="51C27B26"/>
    <w:rsid w:val="540A5703"/>
    <w:rsid w:val="55EE5876"/>
    <w:rsid w:val="56242D6E"/>
    <w:rsid w:val="568B6949"/>
    <w:rsid w:val="569B459C"/>
    <w:rsid w:val="56BE2936"/>
    <w:rsid w:val="586F64AC"/>
    <w:rsid w:val="58F53DFC"/>
    <w:rsid w:val="59BE5287"/>
    <w:rsid w:val="5AEA3D7B"/>
    <w:rsid w:val="5F4474F8"/>
    <w:rsid w:val="5FF76E9C"/>
    <w:rsid w:val="60A11BA6"/>
    <w:rsid w:val="62652744"/>
    <w:rsid w:val="62E418BB"/>
    <w:rsid w:val="63100901"/>
    <w:rsid w:val="633A597E"/>
    <w:rsid w:val="683E7CBF"/>
    <w:rsid w:val="688E5A2F"/>
    <w:rsid w:val="69A607A9"/>
    <w:rsid w:val="6AD554DF"/>
    <w:rsid w:val="6EB56801"/>
    <w:rsid w:val="6EC30F1E"/>
    <w:rsid w:val="721E7B1D"/>
    <w:rsid w:val="74455A79"/>
    <w:rsid w:val="744877CF"/>
    <w:rsid w:val="7D1575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等线" w:hAnsi="等线" w:eastAsia="等线" w:cs="等线"/>
      <w:kern w:val="2"/>
      <w:sz w:val="21"/>
      <w:szCs w:val="21"/>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qFormat/>
    <w:uiPriority w:val="99"/>
    <w:rPr>
      <w:sz w:val="18"/>
      <w:szCs w:val="18"/>
    </w:rPr>
  </w:style>
  <w:style w:type="paragraph" w:styleId="3">
    <w:name w:val="footer"/>
    <w:basedOn w:val="1"/>
    <w:link w:val="12"/>
    <w:autoRedefine/>
    <w:qFormat/>
    <w:uiPriority w:val="99"/>
    <w:pPr>
      <w:tabs>
        <w:tab w:val="center" w:pos="4153"/>
        <w:tab w:val="right" w:pos="8306"/>
      </w:tabs>
      <w:snapToGrid w:val="0"/>
      <w:jc w:val="left"/>
    </w:pPr>
    <w:rPr>
      <w:sz w:val="18"/>
      <w:szCs w:val="18"/>
    </w:rPr>
  </w:style>
  <w:style w:type="paragraph" w:styleId="4">
    <w:name w:val="header"/>
    <w:basedOn w:val="1"/>
    <w:link w:val="13"/>
    <w:autoRedefine/>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autoRedefine/>
    <w:qFormat/>
    <w:locked/>
    <w:uiPriority w:val="99"/>
    <w:pPr>
      <w:widowControl w:val="0"/>
      <w:jc w:val="both"/>
    </w:pPr>
    <w:rPr>
      <w:rFonts w:cs="等线"/>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99"/>
    <w:rPr>
      <w:b/>
      <w:bCs/>
    </w:rPr>
  </w:style>
  <w:style w:type="character" w:styleId="10">
    <w:name w:val="page number"/>
    <w:basedOn w:val="8"/>
    <w:autoRedefine/>
    <w:qFormat/>
    <w:uiPriority w:val="99"/>
  </w:style>
  <w:style w:type="character" w:customStyle="1" w:styleId="11">
    <w:name w:val="批注框文本 字符"/>
    <w:basedOn w:val="8"/>
    <w:link w:val="2"/>
    <w:autoRedefine/>
    <w:semiHidden/>
    <w:qFormat/>
    <w:locked/>
    <w:uiPriority w:val="99"/>
    <w:rPr>
      <w:kern w:val="2"/>
      <w:sz w:val="18"/>
      <w:szCs w:val="18"/>
    </w:rPr>
  </w:style>
  <w:style w:type="character" w:customStyle="1" w:styleId="12">
    <w:name w:val="页脚 字符"/>
    <w:basedOn w:val="8"/>
    <w:link w:val="3"/>
    <w:autoRedefine/>
    <w:qFormat/>
    <w:locked/>
    <w:uiPriority w:val="99"/>
    <w:rPr>
      <w:sz w:val="18"/>
      <w:szCs w:val="18"/>
    </w:rPr>
  </w:style>
  <w:style w:type="character" w:customStyle="1" w:styleId="13">
    <w:name w:val="页眉 字符"/>
    <w:basedOn w:val="8"/>
    <w:link w:val="4"/>
    <w:autoRedefine/>
    <w:qFormat/>
    <w:locked/>
    <w:uiPriority w:val="99"/>
    <w:rPr>
      <w:sz w:val="18"/>
      <w:szCs w:val="18"/>
    </w:rPr>
  </w:style>
  <w:style w:type="paragraph" w:customStyle="1" w:styleId="14">
    <w:name w:val="con-title"/>
    <w:basedOn w:val="1"/>
    <w:autoRedefine/>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syyw</Company>
  <Pages>4</Pages>
  <Words>1219</Words>
  <Characters>1320</Characters>
  <Lines>6</Lines>
  <Paragraphs>1</Paragraphs>
  <TotalTime>8</TotalTime>
  <ScaleCrop>false</ScaleCrop>
  <LinksUpToDate>false</LinksUpToDate>
  <CharactersWithSpaces>1339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2022-07-06T02:34:00Z</dcterms:created>
  <dc:creator>lhl</dc:creator>
  <cp:lastModifiedBy>笑蛋妈</cp:lastModifiedBy>
  <cp:lastPrinted>2024-02-27T09:29:00Z</cp:lastPrinted>
  <dcterms:modified xsi:type="dcterms:W3CDTF">2024-07-03T08:19:00Z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F7D04E264A72454F9975FD23547DA02A</vt:lpwstr>
  </property>
</Properties>
</file>